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BD09" w14:textId="77777777" w:rsidR="003C6661" w:rsidRDefault="003C6661">
      <w:pPr>
        <w:tabs>
          <w:tab w:val="left" w:pos="480"/>
        </w:tabs>
        <w:spacing w:before="126"/>
        <w:rPr>
          <w:sz w:val="48"/>
          <w:szCs w:val="48"/>
        </w:rPr>
      </w:pPr>
    </w:p>
    <w:p w14:paraId="33B0A689" w14:textId="77777777" w:rsidR="003C6661" w:rsidRDefault="003C6661">
      <w:pPr>
        <w:tabs>
          <w:tab w:val="left" w:pos="480"/>
        </w:tabs>
        <w:spacing w:before="126"/>
        <w:jc w:val="center"/>
        <w:rPr>
          <w:sz w:val="48"/>
          <w:szCs w:val="48"/>
        </w:rPr>
      </w:pPr>
    </w:p>
    <w:p w14:paraId="1AF1AC50" w14:textId="77777777" w:rsidR="003C6661" w:rsidRDefault="003C6661">
      <w:pPr>
        <w:tabs>
          <w:tab w:val="left" w:pos="480"/>
        </w:tabs>
        <w:spacing w:before="126"/>
        <w:jc w:val="center"/>
        <w:rPr>
          <w:sz w:val="48"/>
          <w:szCs w:val="48"/>
        </w:rPr>
      </w:pPr>
    </w:p>
    <w:p w14:paraId="446C4B09" w14:textId="77777777" w:rsidR="003C6661" w:rsidRDefault="003C6661">
      <w:pPr>
        <w:tabs>
          <w:tab w:val="left" w:pos="480"/>
        </w:tabs>
        <w:spacing w:before="126"/>
        <w:jc w:val="center"/>
        <w:rPr>
          <w:sz w:val="48"/>
          <w:szCs w:val="48"/>
        </w:rPr>
      </w:pPr>
    </w:p>
    <w:p w14:paraId="0987672C" w14:textId="77777777" w:rsidR="003C6661" w:rsidRDefault="003C6661">
      <w:pPr>
        <w:tabs>
          <w:tab w:val="left" w:pos="480"/>
        </w:tabs>
        <w:spacing w:before="126"/>
        <w:jc w:val="center"/>
        <w:rPr>
          <w:sz w:val="48"/>
          <w:szCs w:val="48"/>
        </w:rPr>
      </w:pPr>
    </w:p>
    <w:p w14:paraId="1B276CD3" w14:textId="36B7C8BA" w:rsidR="003C6661" w:rsidRDefault="00FA4BA0" w:rsidP="00772313">
      <w:pPr>
        <w:tabs>
          <w:tab w:val="left" w:pos="480"/>
        </w:tabs>
        <w:spacing w:before="126"/>
        <w:jc w:val="center"/>
        <w:rPr>
          <w:b/>
          <w:sz w:val="48"/>
          <w:szCs w:val="48"/>
        </w:rPr>
      </w:pPr>
      <w:r w:rsidRPr="00FA4BA0">
        <w:rPr>
          <w:b/>
          <w:color w:val="4F81BD" w:themeColor="accent1"/>
          <w:sz w:val="48"/>
          <w:szCs w:val="48"/>
        </w:rPr>
        <w:t>[ACADEMIC UNIT]</w:t>
      </w:r>
      <w:r w:rsidR="00772313" w:rsidRPr="00FA4BA0">
        <w:rPr>
          <w:b/>
          <w:color w:val="4F81BD" w:themeColor="accent1"/>
          <w:sz w:val="48"/>
          <w:szCs w:val="48"/>
        </w:rPr>
        <w:t xml:space="preserve"> </w:t>
      </w:r>
      <w:r w:rsidR="00772313">
        <w:rPr>
          <w:b/>
          <w:sz w:val="48"/>
          <w:szCs w:val="48"/>
        </w:rPr>
        <w:t>Workload Policy</w:t>
      </w:r>
    </w:p>
    <w:p w14:paraId="5286988B" w14:textId="77777777" w:rsidR="00E6176B" w:rsidRDefault="00E6176B">
      <w:pPr>
        <w:tabs>
          <w:tab w:val="left" w:pos="480"/>
        </w:tabs>
        <w:spacing w:before="126"/>
        <w:jc w:val="center"/>
        <w:rPr>
          <w:b/>
          <w:sz w:val="48"/>
          <w:szCs w:val="48"/>
        </w:rPr>
      </w:pPr>
    </w:p>
    <w:p w14:paraId="1096E7B0" w14:textId="77777777" w:rsidR="00E6176B" w:rsidRDefault="00E6176B">
      <w:pPr>
        <w:tabs>
          <w:tab w:val="left" w:pos="480"/>
        </w:tabs>
        <w:spacing w:before="126"/>
        <w:jc w:val="center"/>
        <w:rPr>
          <w:b/>
          <w:sz w:val="48"/>
          <w:szCs w:val="48"/>
        </w:rPr>
      </w:pPr>
    </w:p>
    <w:p w14:paraId="08430097" w14:textId="77777777" w:rsidR="008B5782" w:rsidRPr="008B5782" w:rsidRDefault="008B5782" w:rsidP="00B61738">
      <w:pPr>
        <w:tabs>
          <w:tab w:val="left" w:pos="480"/>
        </w:tabs>
        <w:spacing w:before="126"/>
        <w:rPr>
          <w:b/>
          <w:sz w:val="28"/>
          <w:szCs w:val="28"/>
        </w:rPr>
      </w:pPr>
    </w:p>
    <w:p w14:paraId="0D7A566F" w14:textId="77777777" w:rsidR="003C6661" w:rsidRPr="00C97A1C" w:rsidRDefault="003C6661" w:rsidP="00C97A1C">
      <w:pPr>
        <w:tabs>
          <w:tab w:val="left" w:pos="480"/>
        </w:tabs>
        <w:spacing w:before="126"/>
        <w:rPr>
          <w:color w:val="FF0000"/>
          <w:sz w:val="28"/>
          <w:szCs w:val="28"/>
        </w:rPr>
      </w:pPr>
    </w:p>
    <w:p w14:paraId="29528EEE" w14:textId="77777777" w:rsidR="003C6661" w:rsidRDefault="003C6661">
      <w:pPr>
        <w:tabs>
          <w:tab w:val="left" w:pos="480"/>
        </w:tabs>
        <w:spacing w:before="126"/>
      </w:pPr>
    </w:p>
    <w:p w14:paraId="5F42198D" w14:textId="77777777" w:rsidR="003C6661" w:rsidRDefault="003C6661">
      <w:pPr>
        <w:tabs>
          <w:tab w:val="left" w:pos="480"/>
        </w:tabs>
        <w:spacing w:before="126"/>
      </w:pPr>
    </w:p>
    <w:p w14:paraId="05DB0EF1" w14:textId="77777777" w:rsidR="003C6661" w:rsidRDefault="003C6661">
      <w:pPr>
        <w:tabs>
          <w:tab w:val="left" w:pos="480"/>
        </w:tabs>
        <w:spacing w:before="126"/>
      </w:pPr>
    </w:p>
    <w:p w14:paraId="3FD8E96D" w14:textId="77777777" w:rsidR="00D43F80" w:rsidRDefault="00D43F80">
      <w:pPr>
        <w:tabs>
          <w:tab w:val="left" w:pos="480"/>
        </w:tabs>
        <w:spacing w:before="126"/>
      </w:pPr>
    </w:p>
    <w:p w14:paraId="7F7FC513" w14:textId="77777777" w:rsidR="00D43F80" w:rsidRDefault="00D43F80">
      <w:pPr>
        <w:tabs>
          <w:tab w:val="left" w:pos="480"/>
        </w:tabs>
        <w:spacing w:before="126"/>
      </w:pPr>
    </w:p>
    <w:p w14:paraId="63B858DF" w14:textId="77777777" w:rsidR="003C6661" w:rsidRDefault="003C6661">
      <w:pPr>
        <w:tabs>
          <w:tab w:val="left" w:pos="480"/>
        </w:tabs>
        <w:spacing w:before="126"/>
      </w:pPr>
    </w:p>
    <w:p w14:paraId="32363D4D" w14:textId="77777777" w:rsidR="003C6661" w:rsidRDefault="00E6176B">
      <w:pPr>
        <w:spacing w:line="264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AADA186" wp14:editId="521A6FDD">
            <wp:extent cx="1137285" cy="286385"/>
            <wp:effectExtent l="0" t="0" r="0" b="0"/>
            <wp:docPr id="2" name="image1.jpg" descr="Horizonta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orizontal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286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DA8817" w14:textId="77777777" w:rsidR="003C6661" w:rsidRDefault="003C6661">
      <w:pPr>
        <w:spacing w:line="264" w:lineRule="auto"/>
        <w:jc w:val="center"/>
        <w:rPr>
          <w:b/>
          <w:sz w:val="28"/>
          <w:szCs w:val="28"/>
        </w:rPr>
      </w:pPr>
    </w:p>
    <w:p w14:paraId="5FECE1B4" w14:textId="77777777" w:rsidR="00772313" w:rsidRDefault="00772313">
      <w:pPr>
        <w:spacing w:line="264" w:lineRule="auto"/>
        <w:jc w:val="center"/>
        <w:rPr>
          <w:b/>
          <w:sz w:val="28"/>
          <w:szCs w:val="28"/>
        </w:rPr>
      </w:pPr>
    </w:p>
    <w:p w14:paraId="1D9BA07E" w14:textId="77777777" w:rsidR="00772313" w:rsidRDefault="00772313">
      <w:pPr>
        <w:spacing w:line="264" w:lineRule="auto"/>
        <w:jc w:val="center"/>
        <w:rPr>
          <w:b/>
          <w:sz w:val="28"/>
          <w:szCs w:val="28"/>
        </w:rPr>
      </w:pPr>
    </w:p>
    <w:p w14:paraId="0BA3C163" w14:textId="77777777" w:rsidR="003C6661" w:rsidRDefault="003C6661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111CBEE4" w14:textId="77777777" w:rsidR="003C6661" w:rsidRDefault="003C6661" w:rsidP="00772313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10"/>
          <w:szCs w:val="10"/>
        </w:rPr>
      </w:pPr>
    </w:p>
    <w:p w14:paraId="16D3F444" w14:textId="77777777" w:rsidR="003C6661" w:rsidRDefault="003C6661">
      <w:pPr>
        <w:rPr>
          <w:b/>
        </w:rPr>
      </w:pPr>
    </w:p>
    <w:tbl>
      <w:tblPr>
        <w:tblStyle w:val="a"/>
        <w:tblW w:w="143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7195"/>
      </w:tblGrid>
      <w:tr w:rsidR="003C6661" w14:paraId="65765C50" w14:textId="77777777" w:rsidTr="00772313">
        <w:trPr>
          <w:trHeight w:val="567"/>
        </w:trPr>
        <w:tc>
          <w:tcPr>
            <w:tcW w:w="7195" w:type="dxa"/>
          </w:tcPr>
          <w:p w14:paraId="5C4E9A76" w14:textId="71DF3D50" w:rsidR="003C6661" w:rsidRDefault="00E6176B" w:rsidP="00772313">
            <w:pPr>
              <w:rPr>
                <w:b/>
              </w:rPr>
            </w:pPr>
            <w:r>
              <w:rPr>
                <w:b/>
              </w:rPr>
              <w:t>Academic Unit (Dep</w:t>
            </w:r>
            <w:r w:rsidR="00DB5B5A">
              <w:rPr>
                <w:b/>
              </w:rPr>
              <w:t>artment or College/School):</w:t>
            </w:r>
            <w:r w:rsidR="00E72E11">
              <w:rPr>
                <w:b/>
              </w:rPr>
              <w:t xml:space="preserve"> </w:t>
            </w:r>
          </w:p>
        </w:tc>
        <w:tc>
          <w:tcPr>
            <w:tcW w:w="7195" w:type="dxa"/>
          </w:tcPr>
          <w:p w14:paraId="4E887ED4" w14:textId="1B589617" w:rsidR="003C6661" w:rsidRPr="00F34B84" w:rsidRDefault="00E6176B" w:rsidP="00DB5B5A">
            <w:r>
              <w:rPr>
                <w:b/>
              </w:rPr>
              <w:t xml:space="preserve">Responsible Academic Unit Official: </w:t>
            </w:r>
          </w:p>
        </w:tc>
      </w:tr>
      <w:tr w:rsidR="003C6661" w14:paraId="60DE4006" w14:textId="77777777">
        <w:trPr>
          <w:trHeight w:val="432"/>
        </w:trPr>
        <w:tc>
          <w:tcPr>
            <w:tcW w:w="7195" w:type="dxa"/>
          </w:tcPr>
          <w:p w14:paraId="35D0DA6D" w14:textId="578A7EB3" w:rsidR="003C6661" w:rsidRDefault="00E6176B" w:rsidP="00DB4B16">
            <w:pPr>
              <w:rPr>
                <w:b/>
              </w:rPr>
            </w:pPr>
            <w:r>
              <w:rPr>
                <w:b/>
              </w:rPr>
              <w:t xml:space="preserve">Chair Approval Date (if applicable): </w:t>
            </w:r>
          </w:p>
        </w:tc>
        <w:tc>
          <w:tcPr>
            <w:tcW w:w="7195" w:type="dxa"/>
          </w:tcPr>
          <w:p w14:paraId="28585C6B" w14:textId="77777777" w:rsidR="003C6661" w:rsidRDefault="00E6176B">
            <w:pPr>
              <w:rPr>
                <w:b/>
              </w:rPr>
            </w:pPr>
            <w:r>
              <w:rPr>
                <w:b/>
              </w:rPr>
              <w:t>Provost Approval Date:</w:t>
            </w:r>
          </w:p>
        </w:tc>
      </w:tr>
      <w:tr w:rsidR="003C6661" w14:paraId="5618E6F6" w14:textId="77777777">
        <w:trPr>
          <w:trHeight w:val="288"/>
        </w:trPr>
        <w:tc>
          <w:tcPr>
            <w:tcW w:w="7195" w:type="dxa"/>
          </w:tcPr>
          <w:p w14:paraId="494B0723" w14:textId="77777777" w:rsidR="003C6661" w:rsidRDefault="00E6176B">
            <w:pPr>
              <w:rPr>
                <w:b/>
              </w:rPr>
            </w:pPr>
            <w:r>
              <w:rPr>
                <w:b/>
              </w:rPr>
              <w:t>Director/Dean Approval Date:</w:t>
            </w:r>
          </w:p>
        </w:tc>
        <w:tc>
          <w:tcPr>
            <w:tcW w:w="7195" w:type="dxa"/>
          </w:tcPr>
          <w:p w14:paraId="5E5DA533" w14:textId="77777777" w:rsidR="003C6661" w:rsidRDefault="00E6176B">
            <w:pPr>
              <w:rPr>
                <w:b/>
              </w:rPr>
            </w:pPr>
            <w:r>
              <w:rPr>
                <w:b/>
              </w:rPr>
              <w:t>Policy Effective Date:</w:t>
            </w:r>
          </w:p>
          <w:p w14:paraId="49978D6A" w14:textId="77777777" w:rsidR="00D43F80" w:rsidRDefault="00D43F80">
            <w:pPr>
              <w:rPr>
                <w:b/>
              </w:rPr>
            </w:pPr>
          </w:p>
        </w:tc>
      </w:tr>
    </w:tbl>
    <w:p w14:paraId="146141D6" w14:textId="77777777" w:rsidR="003C6661" w:rsidRDefault="00E6176B">
      <w:pPr>
        <w:tabs>
          <w:tab w:val="center" w:pos="7200"/>
          <w:tab w:val="left" w:pos="989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B42577C" wp14:editId="1B2326F6">
                <wp:simplePos x="0" y="0"/>
                <wp:positionH relativeFrom="column">
                  <wp:posOffset>38101</wp:posOffset>
                </wp:positionH>
                <wp:positionV relativeFrom="paragraph">
                  <wp:posOffset>101600</wp:posOffset>
                </wp:positionV>
                <wp:extent cx="90932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99400" y="3780000"/>
                          <a:ext cx="9093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A08F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pt;margin-top:8pt;width:716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" strokecolor="#4a7dba">
                <v:stroke startarrowwidth="narrow" startarrowlength="short" endarrowwidth="narrow" endarrowlength="short"/>
              </v:shape>
            </w:pict>
          </mc:Fallback>
        </mc:AlternateContent>
      </w:r>
    </w:p>
    <w:p w14:paraId="722779BE" w14:textId="0DB974F4" w:rsidR="003C6661" w:rsidRDefault="003C6661">
      <w:pPr>
        <w:rPr>
          <w:b/>
        </w:rPr>
      </w:pPr>
    </w:p>
    <w:p w14:paraId="7EF36F14" w14:textId="038DD41E" w:rsidR="00944839" w:rsidRPr="00944839" w:rsidRDefault="00944839">
      <w:pPr>
        <w:rPr>
          <w:bCs/>
        </w:rPr>
      </w:pPr>
      <w:r w:rsidRPr="00944839">
        <w:rPr>
          <w:b/>
          <w:i/>
          <w:iCs/>
        </w:rPr>
        <w:t>NOTE:</w:t>
      </w:r>
      <w:r>
        <w:rPr>
          <w:bCs/>
        </w:rPr>
        <w:t xml:space="preserve">  </w:t>
      </w:r>
      <w:r w:rsidRPr="00944839">
        <w:rPr>
          <w:bCs/>
        </w:rPr>
        <w:t xml:space="preserve">This policy has been developed in accordance with the University </w:t>
      </w:r>
      <w:r w:rsidR="00885C14">
        <w:rPr>
          <w:bCs/>
        </w:rPr>
        <w:t>F</w:t>
      </w:r>
      <w:r w:rsidRPr="00944839">
        <w:rPr>
          <w:bCs/>
        </w:rPr>
        <w:t xml:space="preserve">aculty Workload Policy, available </w:t>
      </w:r>
      <w:hyperlink r:id="rId9" w:history="1">
        <w:r w:rsidRPr="00944839">
          <w:rPr>
            <w:rStyle w:val="Hyperlink"/>
            <w:bCs/>
          </w:rPr>
          <w:t>h</w:t>
        </w:r>
        <w:r w:rsidRPr="00944839">
          <w:rPr>
            <w:rStyle w:val="Hyperlink"/>
            <w:bCs/>
          </w:rPr>
          <w:t>e</w:t>
        </w:r>
        <w:r w:rsidRPr="00944839">
          <w:rPr>
            <w:rStyle w:val="Hyperlink"/>
            <w:bCs/>
          </w:rPr>
          <w:t>re</w:t>
        </w:r>
      </w:hyperlink>
      <w:r w:rsidR="00785AF1">
        <w:rPr>
          <w:bCs/>
        </w:rPr>
        <w:t>.</w:t>
      </w:r>
    </w:p>
    <w:p w14:paraId="04B2D061" w14:textId="77777777" w:rsidR="00944839" w:rsidRPr="00944839" w:rsidRDefault="00944839">
      <w:pPr>
        <w:rPr>
          <w:bCs/>
        </w:rPr>
      </w:pPr>
    </w:p>
    <w:p w14:paraId="1EC87455" w14:textId="22529D39" w:rsidR="00C060BC" w:rsidRPr="00944839" w:rsidRDefault="00944839">
      <w:pPr>
        <w:rPr>
          <w:bCs/>
        </w:rPr>
      </w:pPr>
      <w:r w:rsidRPr="00944839">
        <w:rPr>
          <w:bCs/>
        </w:rPr>
        <w:t>Please provide a statement of any governing principles (other than the University Policy</w:t>
      </w:r>
      <w:r>
        <w:rPr>
          <w:bCs/>
        </w:rPr>
        <w:t>, linked above</w:t>
      </w:r>
      <w:r w:rsidRPr="00944839">
        <w:rPr>
          <w:bCs/>
        </w:rPr>
        <w:t>) upon which the policy is based</w:t>
      </w:r>
      <w:r w:rsidR="00885C14">
        <w:rPr>
          <w:bCs/>
        </w:rPr>
        <w:t xml:space="preserve"> and any specific strategic directions that the workload policy is intentionally designed to help the unit achieve</w:t>
      </w:r>
      <w:r w:rsidRPr="00944839">
        <w:rPr>
          <w:bCs/>
        </w:rPr>
        <w:t>.</w:t>
      </w:r>
    </w:p>
    <w:p w14:paraId="3B09D479" w14:textId="7346AF18" w:rsidR="00944839" w:rsidRDefault="00944839">
      <w:pPr>
        <w:rPr>
          <w:bCs/>
        </w:rPr>
      </w:pPr>
    </w:p>
    <w:tbl>
      <w:tblPr>
        <w:tblStyle w:val="a8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0"/>
      </w:tblGrid>
      <w:tr w:rsidR="00944839" w14:paraId="5BF3A680" w14:textId="77777777" w:rsidTr="000F79CA">
        <w:tc>
          <w:tcPr>
            <w:tcW w:w="14390" w:type="dxa"/>
          </w:tcPr>
          <w:p w14:paraId="3390F458" w14:textId="77777777" w:rsidR="00944839" w:rsidRDefault="00944839" w:rsidP="000F79CA">
            <w:pPr>
              <w:widowControl/>
              <w:rPr>
                <w:color w:val="000000"/>
              </w:rPr>
            </w:pPr>
          </w:p>
          <w:p w14:paraId="5AFAA0B2" w14:textId="06446F62" w:rsidR="00A8103D" w:rsidRDefault="00A8103D" w:rsidP="00785AF1">
            <w:pPr>
              <w:pStyle w:val="BodyText"/>
              <w:spacing w:before="1"/>
              <w:ind w:left="120" w:right="126"/>
              <w:rPr>
                <w:color w:val="000000"/>
              </w:rPr>
            </w:pPr>
          </w:p>
        </w:tc>
      </w:tr>
    </w:tbl>
    <w:p w14:paraId="2D477489" w14:textId="77777777" w:rsidR="00944839" w:rsidRDefault="00944839" w:rsidP="00944839">
      <w:pPr>
        <w:widowControl/>
        <w:rPr>
          <w:color w:val="000000"/>
        </w:rPr>
      </w:pPr>
    </w:p>
    <w:p w14:paraId="7ECEA4FC" w14:textId="589C538D" w:rsidR="00944839" w:rsidRDefault="00944839"/>
    <w:p w14:paraId="07B252DD" w14:textId="471AA774" w:rsidR="00206154" w:rsidRPr="00944839" w:rsidRDefault="00944839" w:rsidP="00944839">
      <w:pPr>
        <w:rPr>
          <w:rFonts w:eastAsia="Times New Roman"/>
          <w:sz w:val="24"/>
          <w:szCs w:val="24"/>
        </w:rPr>
      </w:pPr>
      <w:r w:rsidRPr="00944839">
        <w:t xml:space="preserve">Please </w:t>
      </w:r>
      <w:r w:rsidRPr="00885C14">
        <w:t xml:space="preserve">provide a </w:t>
      </w:r>
      <w:r w:rsidR="00206154" w:rsidRPr="00264110">
        <w:rPr>
          <w:rFonts w:eastAsia="Times New Roman"/>
        </w:rPr>
        <w:t>web link to the academic unit’s promotion and tenure standards posted on the provost’s website, with which the unit faculty workload policy must be fully consistent (per Section 5.9</w:t>
      </w:r>
      <w:r w:rsidRPr="00264110">
        <w:rPr>
          <w:rFonts w:eastAsia="Times New Roman"/>
        </w:rPr>
        <w:t xml:space="preserve"> of the University Policy</w:t>
      </w:r>
      <w:r w:rsidR="00206154" w:rsidRPr="00264110">
        <w:rPr>
          <w:rFonts w:eastAsia="Times New Roman"/>
        </w:rPr>
        <w:t>).</w:t>
      </w:r>
    </w:p>
    <w:p w14:paraId="7015A926" w14:textId="77777777" w:rsidR="00944839" w:rsidRDefault="00944839" w:rsidP="00944839">
      <w:pPr>
        <w:rPr>
          <w:bCs/>
        </w:rPr>
      </w:pPr>
    </w:p>
    <w:tbl>
      <w:tblPr>
        <w:tblStyle w:val="a8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0"/>
      </w:tblGrid>
      <w:tr w:rsidR="00944839" w14:paraId="71358948" w14:textId="77777777" w:rsidTr="000F79CA">
        <w:tc>
          <w:tcPr>
            <w:tcW w:w="14390" w:type="dxa"/>
          </w:tcPr>
          <w:p w14:paraId="0A0703C1" w14:textId="4C11B76E" w:rsidR="00944839" w:rsidRDefault="00944839" w:rsidP="000F79CA">
            <w:pPr>
              <w:widowControl/>
              <w:rPr>
                <w:color w:val="000000"/>
              </w:rPr>
            </w:pPr>
          </w:p>
          <w:p w14:paraId="3ACB84D4" w14:textId="592FCEA9" w:rsidR="00264110" w:rsidRPr="004B4FCF" w:rsidRDefault="004B4FCF" w:rsidP="000F79CA">
            <w:pPr>
              <w:widowControl/>
              <w:rPr>
                <w:color w:val="000000"/>
                <w:sz w:val="24"/>
                <w:szCs w:val="24"/>
              </w:rPr>
            </w:pPr>
            <w:r w:rsidRPr="004B4FCF">
              <w:rPr>
                <w:color w:val="000000"/>
                <w:sz w:val="24"/>
                <w:szCs w:val="24"/>
              </w:rPr>
              <w:t xml:space="preserve">The </w:t>
            </w:r>
            <w:r w:rsidR="00E7745A">
              <w:rPr>
                <w:color w:val="000000"/>
                <w:sz w:val="24"/>
                <w:szCs w:val="24"/>
              </w:rPr>
              <w:t>rank and tenure procedures and criteria</w:t>
            </w:r>
            <w:r w:rsidRPr="004B4FCF">
              <w:rPr>
                <w:color w:val="000000"/>
                <w:sz w:val="24"/>
                <w:szCs w:val="24"/>
              </w:rPr>
              <w:t xml:space="preserve"> </w:t>
            </w:r>
            <w:r w:rsidRPr="00F34B84">
              <w:rPr>
                <w:color w:val="000000"/>
                <w:sz w:val="24"/>
                <w:szCs w:val="24"/>
              </w:rPr>
              <w:t xml:space="preserve">for the </w:t>
            </w:r>
            <w:r w:rsidR="001F7DAD">
              <w:rPr>
                <w:color w:val="4F81BD" w:themeColor="accent1"/>
                <w:sz w:val="24"/>
                <w:szCs w:val="24"/>
              </w:rPr>
              <w:t>[academic unit]</w:t>
            </w:r>
            <w:r w:rsidR="00F34B84" w:rsidRPr="00F34B84">
              <w:rPr>
                <w:sz w:val="24"/>
                <w:szCs w:val="24"/>
              </w:rPr>
              <w:t xml:space="preserve"> </w:t>
            </w:r>
            <w:r w:rsidR="00F34B84" w:rsidRPr="00F34B84">
              <w:rPr>
                <w:color w:val="000000"/>
                <w:sz w:val="24"/>
                <w:szCs w:val="24"/>
              </w:rPr>
              <w:t xml:space="preserve">can be </w:t>
            </w:r>
            <w:r w:rsidR="001F7DAD">
              <w:rPr>
                <w:color w:val="000000"/>
                <w:sz w:val="24"/>
                <w:szCs w:val="24"/>
              </w:rPr>
              <w:t>found here.</w:t>
            </w:r>
          </w:p>
          <w:p w14:paraId="4A27BAC9" w14:textId="77777777" w:rsidR="00944839" w:rsidRDefault="00944839" w:rsidP="000F79CA">
            <w:pPr>
              <w:widowControl/>
              <w:rPr>
                <w:color w:val="000000"/>
              </w:rPr>
            </w:pPr>
          </w:p>
        </w:tc>
      </w:tr>
    </w:tbl>
    <w:p w14:paraId="4EFAC139" w14:textId="77777777" w:rsidR="00944839" w:rsidRDefault="00944839" w:rsidP="00944839">
      <w:pPr>
        <w:rPr>
          <w:rFonts w:eastAsia="Times New Roman"/>
          <w:color w:val="000000"/>
          <w:sz w:val="24"/>
          <w:szCs w:val="24"/>
        </w:rPr>
      </w:pPr>
    </w:p>
    <w:p w14:paraId="4E105664" w14:textId="04D392DC" w:rsidR="00C060BC" w:rsidRDefault="00C060BC" w:rsidP="005B3929">
      <w:pPr>
        <w:shd w:val="clear" w:color="auto" w:fill="FFFFFF"/>
        <w:rPr>
          <w:b/>
        </w:rPr>
      </w:pPr>
    </w:p>
    <w:p w14:paraId="269BC8DF" w14:textId="77777777" w:rsidR="00991869" w:rsidRDefault="00991869" w:rsidP="005B3929">
      <w:pPr>
        <w:shd w:val="clear" w:color="auto" w:fill="FFFFFF"/>
        <w:rPr>
          <w:b/>
        </w:rPr>
      </w:pPr>
    </w:p>
    <w:p w14:paraId="3A957376" w14:textId="77777777" w:rsidR="00C060BC" w:rsidRDefault="00C060BC">
      <w:pPr>
        <w:rPr>
          <w:b/>
        </w:rPr>
      </w:pPr>
    </w:p>
    <w:tbl>
      <w:tblPr>
        <w:tblStyle w:val="a0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3690"/>
        <w:gridCol w:w="5040"/>
        <w:gridCol w:w="4050"/>
      </w:tblGrid>
      <w:tr w:rsidR="00264110" w14:paraId="7356E03B" w14:textId="77777777" w:rsidTr="00264110">
        <w:tc>
          <w:tcPr>
            <w:tcW w:w="1615" w:type="dxa"/>
            <w:shd w:val="clear" w:color="auto" w:fill="1F497D"/>
          </w:tcPr>
          <w:p w14:paraId="6F766768" w14:textId="77777777" w:rsidR="00264110" w:rsidRDefault="00264110">
            <w:pPr>
              <w:tabs>
                <w:tab w:val="left" w:pos="480"/>
              </w:tabs>
              <w:spacing w:before="80" w:after="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Category of Work</w:t>
            </w:r>
          </w:p>
        </w:tc>
        <w:tc>
          <w:tcPr>
            <w:tcW w:w="3690" w:type="dxa"/>
            <w:shd w:val="clear" w:color="auto" w:fill="1F497D"/>
          </w:tcPr>
          <w:p w14:paraId="2C69E483" w14:textId="77777777" w:rsidR="00264110" w:rsidRDefault="00264110">
            <w:pPr>
              <w:tabs>
                <w:tab w:val="left" w:pos="480"/>
              </w:tabs>
              <w:spacing w:before="80" w:after="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Department or College/</w:t>
            </w:r>
            <w:proofErr w:type="gramStart"/>
            <w:r>
              <w:rPr>
                <w:b/>
                <w:color w:val="FFFFFF"/>
                <w:sz w:val="20"/>
                <w:szCs w:val="20"/>
              </w:rPr>
              <w:t>School  Definition</w:t>
            </w:r>
            <w:proofErr w:type="gramEnd"/>
          </w:p>
        </w:tc>
        <w:tc>
          <w:tcPr>
            <w:tcW w:w="5040" w:type="dxa"/>
            <w:shd w:val="clear" w:color="auto" w:fill="1F497D"/>
          </w:tcPr>
          <w:p w14:paraId="7570466F" w14:textId="77777777" w:rsidR="00264110" w:rsidRDefault="00264110">
            <w:pPr>
              <w:tabs>
                <w:tab w:val="left" w:pos="480"/>
              </w:tabs>
              <w:spacing w:before="80" w:after="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Workload Unit Equivalency</w:t>
            </w:r>
          </w:p>
        </w:tc>
        <w:tc>
          <w:tcPr>
            <w:tcW w:w="4050" w:type="dxa"/>
            <w:shd w:val="clear" w:color="auto" w:fill="1F497D"/>
          </w:tcPr>
          <w:p w14:paraId="6F4B1026" w14:textId="77777777" w:rsidR="00264110" w:rsidRDefault="00264110">
            <w:pPr>
              <w:tabs>
                <w:tab w:val="left" w:pos="480"/>
              </w:tabs>
              <w:spacing w:before="80" w:after="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Academic Unit Annual Standard</w:t>
            </w:r>
          </w:p>
        </w:tc>
      </w:tr>
      <w:tr w:rsidR="00264110" w14:paraId="4FBCF98E" w14:textId="77777777" w:rsidTr="00264110">
        <w:tc>
          <w:tcPr>
            <w:tcW w:w="1615" w:type="dxa"/>
            <w:shd w:val="clear" w:color="auto" w:fill="D9D9D9"/>
          </w:tcPr>
          <w:p w14:paraId="66E528DF" w14:textId="77777777" w:rsidR="00264110" w:rsidRDefault="00264110">
            <w:pPr>
              <w:tabs>
                <w:tab w:val="left" w:pos="480"/>
              </w:tabs>
              <w:spacing w:before="80" w:after="8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These are the fundamental categories of work to which SLU commits its faculty.</w:t>
            </w:r>
          </w:p>
        </w:tc>
        <w:tc>
          <w:tcPr>
            <w:tcW w:w="3690" w:type="dxa"/>
            <w:shd w:val="clear" w:color="auto" w:fill="D9D9D9"/>
          </w:tcPr>
          <w:p w14:paraId="005DF385" w14:textId="5A92AA14" w:rsidR="00264110" w:rsidRDefault="00264110">
            <w:pPr>
              <w:tabs>
                <w:tab w:val="left" w:pos="480"/>
              </w:tabs>
              <w:spacing w:before="80" w:after="8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This is how the department or college/school more specifically defines each workload category for its academic discipline(s).</w:t>
            </w:r>
          </w:p>
        </w:tc>
        <w:tc>
          <w:tcPr>
            <w:tcW w:w="5040" w:type="dxa"/>
            <w:shd w:val="clear" w:color="auto" w:fill="D9D9D9"/>
          </w:tcPr>
          <w:p w14:paraId="2F53D623" w14:textId="5E18DAEF" w:rsidR="00264110" w:rsidRDefault="00264110">
            <w:pPr>
              <w:tabs>
                <w:tab w:val="left" w:pos="480"/>
              </w:tabs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is the academic unit’s articulated equivalency of work in each category to the University standard of “one workload unit” – which, per the University </w:t>
            </w:r>
            <w:r>
              <w:rPr>
                <w:i/>
                <w:sz w:val="18"/>
                <w:szCs w:val="18"/>
              </w:rPr>
              <w:t>Faculty Workload Policy</w:t>
            </w:r>
            <w:r>
              <w:rPr>
                <w:sz w:val="18"/>
                <w:szCs w:val="18"/>
              </w:rPr>
              <w:t xml:space="preserve">, equates to the amount of work required to teach </w:t>
            </w:r>
            <w:r>
              <w:rPr>
                <w:b/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credit hour in the discipline(s) of the academic unit.</w:t>
            </w:r>
          </w:p>
        </w:tc>
        <w:tc>
          <w:tcPr>
            <w:tcW w:w="4050" w:type="dxa"/>
            <w:shd w:val="clear" w:color="auto" w:fill="D9D9D9"/>
          </w:tcPr>
          <w:p w14:paraId="3E4AC59F" w14:textId="7635D102" w:rsidR="00264110" w:rsidRDefault="00264110">
            <w:pPr>
              <w:tabs>
                <w:tab w:val="left" w:pos="480"/>
              </w:tabs>
              <w:spacing w:before="80" w:after="80"/>
              <w:rPr>
                <w:i/>
                <w:sz w:val="18"/>
                <w:szCs w:val="18"/>
              </w:rPr>
            </w:pPr>
            <w:r w:rsidRPr="00206154">
              <w:rPr>
                <w:i/>
                <w:sz w:val="18"/>
                <w:szCs w:val="18"/>
              </w:rPr>
              <w:t>These are the unit-wide</w:t>
            </w:r>
            <w:r>
              <w:rPr>
                <w:i/>
                <w:sz w:val="18"/>
                <w:szCs w:val="18"/>
              </w:rPr>
              <w:t xml:space="preserve"> minimum</w:t>
            </w:r>
            <w:r w:rsidRPr="00206154">
              <w:rPr>
                <w:i/>
                <w:sz w:val="18"/>
                <w:szCs w:val="18"/>
              </w:rPr>
              <w:t xml:space="preserve"> work expectations</w:t>
            </w:r>
            <w:r w:rsidRPr="00206154">
              <w:rPr>
                <w:i/>
                <w:sz w:val="18"/>
                <w:szCs w:val="18"/>
                <w:u w:val="single"/>
              </w:rPr>
              <w:t xml:space="preserve"> </w:t>
            </w:r>
            <w:r w:rsidRPr="00AD4D9E">
              <w:rPr>
                <w:i/>
                <w:sz w:val="18"/>
                <w:szCs w:val="18"/>
              </w:rPr>
              <w:t>for all faculty in the unit</w:t>
            </w:r>
            <w:r>
              <w:rPr>
                <w:i/>
                <w:sz w:val="18"/>
                <w:szCs w:val="18"/>
              </w:rPr>
              <w:t xml:space="preserve"> or for all unit faculty in certain classifications (</w:t>
            </w:r>
            <w:r w:rsidRPr="00206154">
              <w:rPr>
                <w:rFonts w:eastAsia="Times New Roman"/>
                <w:i/>
                <w:iCs/>
                <w:sz w:val="18"/>
                <w:szCs w:val="18"/>
              </w:rPr>
              <w:t>tenured/tenure track/non-tenure track, or instructional/research/ clinical),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206154">
              <w:rPr>
                <w:rFonts w:eastAsia="Times New Roman"/>
                <w:i/>
                <w:iCs/>
                <w:sz w:val="18"/>
                <w:szCs w:val="18"/>
              </w:rPr>
              <w:t xml:space="preserve">at each distinct contract length (9 </w:t>
            </w:r>
            <w:proofErr w:type="spellStart"/>
            <w:r w:rsidRPr="00206154">
              <w:rPr>
                <w:rFonts w:eastAsia="Times New Roman"/>
                <w:i/>
                <w:iCs/>
                <w:sz w:val="18"/>
                <w:szCs w:val="18"/>
              </w:rPr>
              <w:t>mo</w:t>
            </w:r>
            <w:proofErr w:type="spellEnd"/>
            <w:r w:rsidRPr="00206154">
              <w:rPr>
                <w:rFonts w:eastAsia="Times New Roman"/>
                <w:i/>
                <w:iCs/>
                <w:sz w:val="18"/>
                <w:szCs w:val="18"/>
              </w:rPr>
              <w:t xml:space="preserve">, 10 </w:t>
            </w:r>
            <w:proofErr w:type="spellStart"/>
            <w:r w:rsidRPr="00206154">
              <w:rPr>
                <w:rFonts w:eastAsia="Times New Roman"/>
                <w:i/>
                <w:iCs/>
                <w:sz w:val="18"/>
                <w:szCs w:val="18"/>
              </w:rPr>
              <w:t>mo</w:t>
            </w:r>
            <w:proofErr w:type="spellEnd"/>
            <w:r w:rsidRPr="00206154">
              <w:rPr>
                <w:rFonts w:eastAsia="Times New Roman"/>
                <w:i/>
                <w:iCs/>
                <w:sz w:val="18"/>
                <w:szCs w:val="18"/>
              </w:rPr>
              <w:t xml:space="preserve">, 11 </w:t>
            </w:r>
            <w:proofErr w:type="spellStart"/>
            <w:r w:rsidRPr="00206154">
              <w:rPr>
                <w:rFonts w:eastAsia="Times New Roman"/>
                <w:i/>
                <w:iCs/>
                <w:sz w:val="18"/>
                <w:szCs w:val="18"/>
              </w:rPr>
              <w:t>mo</w:t>
            </w:r>
            <w:proofErr w:type="spellEnd"/>
            <w:r w:rsidRPr="00206154">
              <w:rPr>
                <w:rFonts w:eastAsia="Times New Roman"/>
                <w:i/>
                <w:iCs/>
                <w:sz w:val="18"/>
                <w:szCs w:val="18"/>
              </w:rPr>
              <w:t xml:space="preserve">, 12 </w:t>
            </w:r>
            <w:proofErr w:type="spellStart"/>
            <w:r w:rsidRPr="00206154">
              <w:rPr>
                <w:rFonts w:eastAsia="Times New Roman"/>
                <w:i/>
                <w:iCs/>
                <w:sz w:val="18"/>
                <w:szCs w:val="18"/>
              </w:rPr>
              <w:t>mo</w:t>
            </w:r>
            <w:proofErr w:type="spellEnd"/>
            <w:r w:rsidRPr="00206154">
              <w:rPr>
                <w:rFonts w:eastAsia="Times New Roman"/>
                <w:i/>
                <w:iCs/>
                <w:sz w:val="18"/>
                <w:szCs w:val="18"/>
              </w:rPr>
              <w:t>)</w:t>
            </w:r>
            <w:r w:rsidRPr="00206154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 xml:space="preserve">as expressed in workload units.  </w:t>
            </w:r>
          </w:p>
          <w:p w14:paraId="558C42DF" w14:textId="77777777" w:rsidR="00264110" w:rsidRDefault="00264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 xml:space="preserve">If there are none for a given category of work, enter “n/a”. This does </w:t>
            </w:r>
            <w:r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not </w:t>
            </w:r>
            <w:r>
              <w:rPr>
                <w:i/>
                <w:color w:val="000000"/>
                <w:sz w:val="18"/>
                <w:szCs w:val="18"/>
              </w:rPr>
              <w:t xml:space="preserve">preclude a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unit awarding workload units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for an individual’s work in categories with an “n/a” designation here.  It just means that, unit-wide, there are no minimum expectations for work in such categories.</w:t>
            </w:r>
          </w:p>
        </w:tc>
      </w:tr>
      <w:tr w:rsidR="00264110" w14:paraId="27FC7B3E" w14:textId="77777777" w:rsidTr="00264110">
        <w:tc>
          <w:tcPr>
            <w:tcW w:w="1615" w:type="dxa"/>
          </w:tcPr>
          <w:p w14:paraId="1FBEA02B" w14:textId="139508CC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b/>
                <w:sz w:val="24"/>
                <w:szCs w:val="24"/>
              </w:rPr>
            </w:pPr>
            <w:r w:rsidRPr="00F34B84">
              <w:rPr>
                <w:b/>
                <w:sz w:val="24"/>
                <w:szCs w:val="24"/>
              </w:rPr>
              <w:lastRenderedPageBreak/>
              <w:t>Teaching</w:t>
            </w:r>
          </w:p>
          <w:p w14:paraId="6F135FEB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b/>
                <w:sz w:val="24"/>
                <w:szCs w:val="24"/>
              </w:rPr>
            </w:pPr>
          </w:p>
          <w:p w14:paraId="5553B374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b/>
                <w:sz w:val="24"/>
                <w:szCs w:val="24"/>
              </w:rPr>
            </w:pPr>
          </w:p>
          <w:p w14:paraId="4BDC45AE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b/>
                <w:sz w:val="24"/>
                <w:szCs w:val="24"/>
              </w:rPr>
            </w:pPr>
          </w:p>
          <w:p w14:paraId="5C69F535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b/>
                <w:sz w:val="24"/>
                <w:szCs w:val="24"/>
              </w:rPr>
            </w:pPr>
          </w:p>
          <w:p w14:paraId="67F0D9A7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b/>
                <w:sz w:val="24"/>
                <w:szCs w:val="24"/>
              </w:rPr>
            </w:pPr>
          </w:p>
          <w:p w14:paraId="1DDACEFC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b/>
                <w:sz w:val="24"/>
                <w:szCs w:val="24"/>
              </w:rPr>
            </w:pPr>
          </w:p>
          <w:p w14:paraId="6E4361ED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b/>
                <w:sz w:val="24"/>
                <w:szCs w:val="24"/>
              </w:rPr>
            </w:pPr>
          </w:p>
          <w:p w14:paraId="2A10ACC5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b/>
                <w:sz w:val="24"/>
                <w:szCs w:val="24"/>
              </w:rPr>
            </w:pPr>
          </w:p>
          <w:p w14:paraId="5CC0DC27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6DCAB528" w14:textId="1A17FDD7" w:rsidR="00264110" w:rsidRPr="00F34B84" w:rsidRDefault="00264110">
            <w:pPr>
              <w:widowControl/>
              <w:spacing w:before="80" w:after="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494BC71" w14:textId="2F13948F" w:rsidR="00A8103D" w:rsidRPr="00F34B84" w:rsidRDefault="00A8103D" w:rsidP="009C4746">
            <w:pPr>
              <w:pStyle w:val="BodyText"/>
              <w:ind w:left="720" w:right="24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6CE1858" w14:textId="77777777" w:rsidR="00777D1D" w:rsidRDefault="00777D1D">
            <w:pPr>
              <w:tabs>
                <w:tab w:val="left" w:pos="480"/>
              </w:tabs>
              <w:spacing w:before="80" w:after="8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0DE6BC" w14:textId="45EC866A" w:rsidR="00A8103D" w:rsidRPr="002658F6" w:rsidRDefault="00A8103D">
            <w:pPr>
              <w:tabs>
                <w:tab w:val="left" w:pos="480"/>
              </w:tabs>
              <w:spacing w:before="80" w:after="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4110" w14:paraId="2B6C991B" w14:textId="77777777" w:rsidTr="00264110">
        <w:tc>
          <w:tcPr>
            <w:tcW w:w="1615" w:type="dxa"/>
          </w:tcPr>
          <w:p w14:paraId="34C9B53B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sz w:val="24"/>
                <w:szCs w:val="24"/>
              </w:rPr>
            </w:pPr>
            <w:r w:rsidRPr="00F34B84">
              <w:rPr>
                <w:b/>
                <w:sz w:val="24"/>
                <w:szCs w:val="24"/>
              </w:rPr>
              <w:t>Scholarship, Research, and Creative Endeavor</w:t>
            </w:r>
          </w:p>
          <w:p w14:paraId="4F294BF4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sz w:val="24"/>
                <w:szCs w:val="24"/>
              </w:rPr>
            </w:pPr>
          </w:p>
          <w:p w14:paraId="3D00DA4C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sz w:val="24"/>
                <w:szCs w:val="24"/>
              </w:rPr>
            </w:pPr>
          </w:p>
          <w:p w14:paraId="1064A347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sz w:val="24"/>
                <w:szCs w:val="24"/>
              </w:rPr>
            </w:pPr>
          </w:p>
          <w:p w14:paraId="4D0F1307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sz w:val="24"/>
                <w:szCs w:val="24"/>
              </w:rPr>
            </w:pPr>
          </w:p>
          <w:p w14:paraId="690F3902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sz w:val="24"/>
                <w:szCs w:val="24"/>
              </w:rPr>
            </w:pPr>
          </w:p>
          <w:p w14:paraId="2E109C68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sz w:val="24"/>
                <w:szCs w:val="24"/>
              </w:rPr>
            </w:pPr>
          </w:p>
          <w:p w14:paraId="32001235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sz w:val="24"/>
                <w:szCs w:val="24"/>
              </w:rPr>
            </w:pPr>
          </w:p>
          <w:p w14:paraId="4E69D392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sz w:val="24"/>
                <w:szCs w:val="24"/>
              </w:rPr>
            </w:pPr>
          </w:p>
          <w:p w14:paraId="1F10F69B" w14:textId="77777777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sz w:val="24"/>
                <w:szCs w:val="24"/>
              </w:rPr>
            </w:pPr>
          </w:p>
          <w:p w14:paraId="1DEF3B42" w14:textId="26C6434F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7DC10566" w14:textId="5DA64ECC" w:rsidR="00264110" w:rsidRPr="00F34B84" w:rsidRDefault="00264110">
            <w:pPr>
              <w:widowControl/>
              <w:spacing w:before="80" w:after="8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0F9239F" w14:textId="5C8EC098" w:rsidR="00A96211" w:rsidRPr="00F34B84" w:rsidRDefault="00A96211" w:rsidP="00A96211">
            <w:pPr>
              <w:pStyle w:val="BodyText"/>
              <w:ind w:left="119" w:right="101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0D8777C" w14:textId="77777777" w:rsidR="00264110" w:rsidRPr="00F34B84" w:rsidRDefault="00264110" w:rsidP="001F7DAD">
            <w:pPr>
              <w:pStyle w:val="BodyText"/>
              <w:ind w:right="17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4110" w14:paraId="00CD1B70" w14:textId="77777777" w:rsidTr="007967D2">
        <w:tc>
          <w:tcPr>
            <w:tcW w:w="1615" w:type="dxa"/>
          </w:tcPr>
          <w:p w14:paraId="28619430" w14:textId="3BFBA10F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b/>
                <w:sz w:val="24"/>
                <w:szCs w:val="24"/>
              </w:rPr>
            </w:pPr>
            <w:r w:rsidRPr="00F34B84">
              <w:rPr>
                <w:b/>
                <w:sz w:val="24"/>
                <w:szCs w:val="24"/>
              </w:rPr>
              <w:lastRenderedPageBreak/>
              <w:t>Service to the University, Profession, and Public</w:t>
            </w:r>
          </w:p>
        </w:tc>
        <w:tc>
          <w:tcPr>
            <w:tcW w:w="3690" w:type="dxa"/>
          </w:tcPr>
          <w:p w14:paraId="427EB008" w14:textId="1E8D1BD9" w:rsidR="00655DD0" w:rsidRPr="00F34B84" w:rsidRDefault="00655DD0" w:rsidP="001F7DAD">
            <w:pPr>
              <w:pStyle w:val="NormalWeb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40" w:type="dxa"/>
          </w:tcPr>
          <w:p w14:paraId="1133FE66" w14:textId="0AE9CD72" w:rsidR="00264110" w:rsidRPr="00F34B84" w:rsidRDefault="00264110" w:rsidP="001F7DAD">
            <w:pPr>
              <w:pStyle w:val="NormalWeb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050" w:type="dxa"/>
          </w:tcPr>
          <w:p w14:paraId="12B33A37" w14:textId="100538FB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4110" w14:paraId="328CABAD" w14:textId="77777777" w:rsidTr="00264110">
        <w:tc>
          <w:tcPr>
            <w:tcW w:w="1615" w:type="dxa"/>
          </w:tcPr>
          <w:p w14:paraId="6F40E06F" w14:textId="1D37C049" w:rsidR="00264110" w:rsidRPr="00F34B84" w:rsidRDefault="00EE07F2">
            <w:pPr>
              <w:tabs>
                <w:tab w:val="left" w:pos="480"/>
              </w:tabs>
              <w:spacing w:before="80" w:after="80"/>
              <w:rPr>
                <w:b/>
                <w:sz w:val="24"/>
                <w:szCs w:val="24"/>
              </w:rPr>
            </w:pPr>
            <w:r w:rsidRPr="0039699E">
              <w:rPr>
                <w:b/>
              </w:rPr>
              <w:t>Administrativ</w:t>
            </w:r>
            <w:r w:rsidR="00264110" w:rsidRPr="0039699E">
              <w:rPr>
                <w:b/>
              </w:rPr>
              <w:t>e</w:t>
            </w:r>
            <w:r w:rsidR="00264110" w:rsidRPr="00F34B84">
              <w:rPr>
                <w:b/>
                <w:sz w:val="24"/>
                <w:szCs w:val="24"/>
              </w:rPr>
              <w:t xml:space="preserve"> </w:t>
            </w:r>
            <w:r w:rsidR="00264110" w:rsidRPr="0039699E">
              <w:rPr>
                <w:b/>
              </w:rPr>
              <w:t>Work</w:t>
            </w:r>
          </w:p>
        </w:tc>
        <w:tc>
          <w:tcPr>
            <w:tcW w:w="3690" w:type="dxa"/>
          </w:tcPr>
          <w:p w14:paraId="5C82CB03" w14:textId="77777777" w:rsidR="00264110" w:rsidRPr="00F34B84" w:rsidRDefault="00264110">
            <w:pPr>
              <w:widowControl/>
              <w:spacing w:before="80" w:after="80"/>
              <w:rPr>
                <w:color w:val="000000"/>
                <w:sz w:val="24"/>
                <w:szCs w:val="24"/>
              </w:rPr>
            </w:pPr>
          </w:p>
          <w:p w14:paraId="7340FB2D" w14:textId="77777777" w:rsidR="00264110" w:rsidRPr="00F34B84" w:rsidRDefault="00264110">
            <w:pPr>
              <w:widowControl/>
              <w:spacing w:before="80" w:after="80"/>
              <w:rPr>
                <w:color w:val="000000"/>
                <w:sz w:val="24"/>
                <w:szCs w:val="24"/>
              </w:rPr>
            </w:pPr>
          </w:p>
          <w:p w14:paraId="6A481F97" w14:textId="77777777" w:rsidR="00264110" w:rsidRPr="00F34B84" w:rsidRDefault="00264110">
            <w:pPr>
              <w:widowControl/>
              <w:spacing w:before="80" w:after="80"/>
              <w:rPr>
                <w:color w:val="000000"/>
                <w:sz w:val="24"/>
                <w:szCs w:val="24"/>
              </w:rPr>
            </w:pPr>
          </w:p>
          <w:p w14:paraId="7BE77BC8" w14:textId="77777777" w:rsidR="00264110" w:rsidRPr="00F34B84" w:rsidRDefault="00264110">
            <w:pPr>
              <w:widowControl/>
              <w:spacing w:before="80" w:after="80"/>
              <w:rPr>
                <w:color w:val="000000"/>
                <w:sz w:val="24"/>
                <w:szCs w:val="24"/>
              </w:rPr>
            </w:pPr>
          </w:p>
          <w:p w14:paraId="1D5755CF" w14:textId="77777777" w:rsidR="00264110" w:rsidRPr="00F34B84" w:rsidRDefault="00264110">
            <w:pPr>
              <w:widowControl/>
              <w:spacing w:before="80" w:after="80"/>
              <w:rPr>
                <w:color w:val="000000"/>
                <w:sz w:val="24"/>
                <w:szCs w:val="24"/>
              </w:rPr>
            </w:pPr>
          </w:p>
          <w:p w14:paraId="26EEEB73" w14:textId="55F118F5" w:rsidR="00264110" w:rsidRPr="00F34B84" w:rsidRDefault="00264110">
            <w:pPr>
              <w:widowControl/>
              <w:spacing w:before="80" w:after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6CB6E9F" w14:textId="0FFA7FBA" w:rsidR="00264110" w:rsidRPr="00AB29FC" w:rsidRDefault="00264110" w:rsidP="00C11E22">
            <w:pPr>
              <w:pStyle w:val="BodyText"/>
              <w:ind w:left="120" w:right="599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355FAD6B" w14:textId="1802B42D" w:rsidR="00264110" w:rsidRPr="00F34B84" w:rsidRDefault="00264110">
            <w:pPr>
              <w:tabs>
                <w:tab w:val="left" w:pos="480"/>
              </w:tabs>
              <w:spacing w:before="80" w:after="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2DE1833" w14:textId="77777777" w:rsidR="00944839" w:rsidRDefault="00944839" w:rsidP="00DB5B5A">
      <w:pPr>
        <w:widowControl/>
        <w:tabs>
          <w:tab w:val="left" w:pos="2392"/>
          <w:tab w:val="left" w:pos="5744"/>
          <w:tab w:val="left" w:pos="8363"/>
          <w:tab w:val="left" w:pos="12548"/>
        </w:tabs>
        <w:spacing w:before="80" w:after="80"/>
        <w:ind w:left="113"/>
        <w:rPr>
          <w:b/>
          <w:sz w:val="18"/>
          <w:szCs w:val="18"/>
        </w:rPr>
      </w:pPr>
    </w:p>
    <w:p w14:paraId="19EAF6AF" w14:textId="77777777" w:rsidR="00F96F7E" w:rsidRDefault="00F96F7E" w:rsidP="005B3929">
      <w:pPr>
        <w:rPr>
          <w:bCs/>
        </w:rPr>
      </w:pPr>
    </w:p>
    <w:p w14:paraId="66064B1F" w14:textId="195A7CE0" w:rsidR="00F96F7E" w:rsidRDefault="00F96F7E" w:rsidP="005B3929">
      <w:pPr>
        <w:rPr>
          <w:bCs/>
        </w:rPr>
      </w:pPr>
    </w:p>
    <w:p w14:paraId="3F756874" w14:textId="77777777" w:rsidR="004A7539" w:rsidRDefault="004A7539" w:rsidP="005B3929">
      <w:pPr>
        <w:rPr>
          <w:bCs/>
        </w:rPr>
      </w:pPr>
    </w:p>
    <w:p w14:paraId="3E9B1134" w14:textId="77777777" w:rsidR="00D90DD9" w:rsidRDefault="00D90DD9" w:rsidP="005B3929">
      <w:pPr>
        <w:rPr>
          <w:bCs/>
        </w:rPr>
      </w:pPr>
    </w:p>
    <w:p w14:paraId="6D6D6A40" w14:textId="79795411" w:rsidR="005B3929" w:rsidRDefault="005B3929" w:rsidP="005B3929">
      <w:pPr>
        <w:rPr>
          <w:b/>
        </w:rPr>
      </w:pPr>
      <w:r w:rsidRPr="005B3929">
        <w:rPr>
          <w:bCs/>
        </w:rPr>
        <w:t>Per Section 6.4.h of the University Policy,</w:t>
      </w:r>
      <w:r>
        <w:rPr>
          <w:b/>
        </w:rPr>
        <w:t xml:space="preserve"> </w:t>
      </w:r>
      <w:r>
        <w:t>provide a description of the process (including associated timelines) by which workloads for individual faculty are established annually.</w:t>
      </w:r>
    </w:p>
    <w:p w14:paraId="5DE786FE" w14:textId="77777777" w:rsidR="003C6661" w:rsidRDefault="003C6661">
      <w:pPr>
        <w:tabs>
          <w:tab w:val="left" w:pos="480"/>
        </w:tabs>
      </w:pPr>
    </w:p>
    <w:tbl>
      <w:tblPr>
        <w:tblStyle w:val="a8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0"/>
      </w:tblGrid>
      <w:tr w:rsidR="003C6661" w14:paraId="3A0749AC" w14:textId="77777777">
        <w:tc>
          <w:tcPr>
            <w:tcW w:w="14390" w:type="dxa"/>
          </w:tcPr>
          <w:p w14:paraId="533BD92C" w14:textId="77777777" w:rsidR="0007112C" w:rsidRDefault="0007112C" w:rsidP="001F7DAD">
            <w:pPr>
              <w:pStyle w:val="BodyText"/>
              <w:ind w:left="120" w:right="143"/>
              <w:rPr>
                <w:color w:val="000000"/>
              </w:rPr>
            </w:pPr>
          </w:p>
        </w:tc>
      </w:tr>
    </w:tbl>
    <w:p w14:paraId="44A224E0" w14:textId="35F52050" w:rsidR="003C6661" w:rsidRDefault="003C6661">
      <w:pPr>
        <w:widowControl/>
        <w:rPr>
          <w:color w:val="000000"/>
        </w:rPr>
      </w:pPr>
    </w:p>
    <w:p w14:paraId="17E5648C" w14:textId="77777777" w:rsidR="005B3929" w:rsidRDefault="005B3929">
      <w:pPr>
        <w:widowControl/>
        <w:rPr>
          <w:color w:val="000000"/>
        </w:rPr>
      </w:pPr>
    </w:p>
    <w:p w14:paraId="23B1F86E" w14:textId="4232E7D8" w:rsidR="005B3929" w:rsidRPr="005B3929" w:rsidRDefault="005B3929" w:rsidP="005B3929">
      <w:pPr>
        <w:shd w:val="clear" w:color="auto" w:fill="FFFFFF"/>
        <w:rPr>
          <w:rFonts w:eastAsia="Times New Roman"/>
          <w:sz w:val="24"/>
          <w:szCs w:val="24"/>
        </w:rPr>
      </w:pPr>
      <w:r w:rsidRPr="005B3929">
        <w:rPr>
          <w:rFonts w:eastAsia="Times New Roman"/>
        </w:rPr>
        <w:t>Per Section 6.4.i of the University Policy, provide a detailed description of how/where individual annual workload assignments will be made available annually to all faculty in the respective academic unit.</w:t>
      </w:r>
    </w:p>
    <w:p w14:paraId="722FB352" w14:textId="77777777" w:rsidR="005B3929" w:rsidRDefault="005B3929" w:rsidP="005B3929">
      <w:pPr>
        <w:tabs>
          <w:tab w:val="left" w:pos="480"/>
        </w:tabs>
      </w:pPr>
    </w:p>
    <w:tbl>
      <w:tblPr>
        <w:tblStyle w:val="a8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0"/>
      </w:tblGrid>
      <w:tr w:rsidR="005B3929" w14:paraId="176EDC3A" w14:textId="77777777" w:rsidTr="000F79CA">
        <w:tc>
          <w:tcPr>
            <w:tcW w:w="14390" w:type="dxa"/>
          </w:tcPr>
          <w:p w14:paraId="2AFF5437" w14:textId="77777777" w:rsidR="005B3929" w:rsidRPr="00F34B84" w:rsidRDefault="005B3929" w:rsidP="000F79CA">
            <w:pPr>
              <w:widowControl/>
              <w:spacing w:befor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F856F" w14:textId="77777777" w:rsidR="005B3929" w:rsidRDefault="005B3929" w:rsidP="001F7DAD">
            <w:pPr>
              <w:widowControl/>
              <w:rPr>
                <w:color w:val="000000"/>
              </w:rPr>
            </w:pPr>
          </w:p>
        </w:tc>
      </w:tr>
    </w:tbl>
    <w:p w14:paraId="13035BF0" w14:textId="77777777" w:rsidR="005B3929" w:rsidRDefault="005B3929" w:rsidP="005B3929">
      <w:pPr>
        <w:widowControl/>
        <w:rPr>
          <w:color w:val="000000"/>
        </w:rPr>
      </w:pPr>
    </w:p>
    <w:p w14:paraId="34FD3D91" w14:textId="77777777" w:rsidR="005B3929" w:rsidRDefault="005B3929">
      <w:pPr>
        <w:widowControl/>
        <w:rPr>
          <w:color w:val="000000"/>
        </w:rPr>
      </w:pPr>
    </w:p>
    <w:sectPr w:rsidR="005B39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1008" w:left="720" w:header="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931B" w14:textId="77777777" w:rsidR="00E8094D" w:rsidRDefault="00E8094D">
      <w:r>
        <w:separator/>
      </w:r>
    </w:p>
  </w:endnote>
  <w:endnote w:type="continuationSeparator" w:id="0">
    <w:p w14:paraId="08B04E09" w14:textId="77777777" w:rsidR="00E8094D" w:rsidRDefault="00E8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8DDA" w14:textId="77777777" w:rsidR="000F79CA" w:rsidRDefault="000F7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4AC1" w14:textId="09BEB636" w:rsidR="000F79CA" w:rsidRDefault="000F7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27A7">
      <w:rPr>
        <w:noProof/>
        <w:color w:val="000000"/>
      </w:rPr>
      <w:t>1</w:t>
    </w:r>
    <w:r>
      <w:rPr>
        <w:color w:val="000000"/>
      </w:rPr>
      <w:fldChar w:fldCharType="end"/>
    </w:r>
  </w:p>
  <w:p w14:paraId="14D481D1" w14:textId="77777777" w:rsidR="000F79CA" w:rsidRDefault="000F7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6215" w14:textId="77777777" w:rsidR="000F79CA" w:rsidRDefault="000F7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1E10" w14:textId="77777777" w:rsidR="00E8094D" w:rsidRDefault="00E8094D">
      <w:r>
        <w:separator/>
      </w:r>
    </w:p>
  </w:footnote>
  <w:footnote w:type="continuationSeparator" w:id="0">
    <w:p w14:paraId="6F0E889E" w14:textId="77777777" w:rsidR="00E8094D" w:rsidRDefault="00E8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D90C" w14:textId="77777777" w:rsidR="000F79CA" w:rsidRDefault="000F7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934D" w14:textId="77777777" w:rsidR="000F79CA" w:rsidRDefault="000F7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051C" w14:textId="77777777" w:rsidR="000F79CA" w:rsidRDefault="000F7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534A"/>
    <w:multiLevelType w:val="hybridMultilevel"/>
    <w:tmpl w:val="0C38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22EF"/>
    <w:multiLevelType w:val="multilevel"/>
    <w:tmpl w:val="CA84A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B4F0AFF"/>
    <w:multiLevelType w:val="multilevel"/>
    <w:tmpl w:val="FA9CC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67D67CC"/>
    <w:multiLevelType w:val="hybridMultilevel"/>
    <w:tmpl w:val="98B616D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61F530C5"/>
    <w:multiLevelType w:val="multilevel"/>
    <w:tmpl w:val="79E489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A336A58"/>
    <w:multiLevelType w:val="multilevel"/>
    <w:tmpl w:val="2182B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CE7796F"/>
    <w:multiLevelType w:val="multilevel"/>
    <w:tmpl w:val="F246F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18213000">
    <w:abstractNumId w:val="1"/>
  </w:num>
  <w:num w:numId="2" w16cid:durableId="789861918">
    <w:abstractNumId w:val="5"/>
  </w:num>
  <w:num w:numId="3" w16cid:durableId="1012537400">
    <w:abstractNumId w:val="2"/>
  </w:num>
  <w:num w:numId="4" w16cid:durableId="1598754412">
    <w:abstractNumId w:val="4"/>
  </w:num>
  <w:num w:numId="5" w16cid:durableId="922302421">
    <w:abstractNumId w:val="6"/>
  </w:num>
  <w:num w:numId="6" w16cid:durableId="1568876701">
    <w:abstractNumId w:val="0"/>
  </w:num>
  <w:num w:numId="7" w16cid:durableId="1531261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61"/>
    <w:rsid w:val="00047FB6"/>
    <w:rsid w:val="00064D36"/>
    <w:rsid w:val="0007112C"/>
    <w:rsid w:val="000809D1"/>
    <w:rsid w:val="00094FE4"/>
    <w:rsid w:val="000A0740"/>
    <w:rsid w:val="000A12CC"/>
    <w:rsid w:val="000E3DCA"/>
    <w:rsid w:val="000F3E3E"/>
    <w:rsid w:val="000F79CA"/>
    <w:rsid w:val="00106158"/>
    <w:rsid w:val="00156089"/>
    <w:rsid w:val="00166528"/>
    <w:rsid w:val="001943E4"/>
    <w:rsid w:val="001D2CDC"/>
    <w:rsid w:val="001F5598"/>
    <w:rsid w:val="001F7DAD"/>
    <w:rsid w:val="00206154"/>
    <w:rsid w:val="00207372"/>
    <w:rsid w:val="002152E4"/>
    <w:rsid w:val="00244024"/>
    <w:rsid w:val="00264110"/>
    <w:rsid w:val="002658F6"/>
    <w:rsid w:val="002A0874"/>
    <w:rsid w:val="002B1F65"/>
    <w:rsid w:val="002E283C"/>
    <w:rsid w:val="00300341"/>
    <w:rsid w:val="0039699E"/>
    <w:rsid w:val="003B62BA"/>
    <w:rsid w:val="003C5E60"/>
    <w:rsid w:val="003C6661"/>
    <w:rsid w:val="003C7D49"/>
    <w:rsid w:val="003D172A"/>
    <w:rsid w:val="003D339A"/>
    <w:rsid w:val="003D45E1"/>
    <w:rsid w:val="00401E60"/>
    <w:rsid w:val="004767E8"/>
    <w:rsid w:val="0049112B"/>
    <w:rsid w:val="004968FE"/>
    <w:rsid w:val="004A7539"/>
    <w:rsid w:val="004B4FCF"/>
    <w:rsid w:val="004C5510"/>
    <w:rsid w:val="004D703E"/>
    <w:rsid w:val="004E7BFA"/>
    <w:rsid w:val="00503680"/>
    <w:rsid w:val="00525828"/>
    <w:rsid w:val="00542EFA"/>
    <w:rsid w:val="005B3929"/>
    <w:rsid w:val="006259C0"/>
    <w:rsid w:val="00627E7F"/>
    <w:rsid w:val="00641F71"/>
    <w:rsid w:val="00655DD0"/>
    <w:rsid w:val="006B61B9"/>
    <w:rsid w:val="006D2F0D"/>
    <w:rsid w:val="006F1A18"/>
    <w:rsid w:val="006F7DFE"/>
    <w:rsid w:val="00723057"/>
    <w:rsid w:val="00772313"/>
    <w:rsid w:val="00777D1D"/>
    <w:rsid w:val="00785AF1"/>
    <w:rsid w:val="007863B6"/>
    <w:rsid w:val="007967D2"/>
    <w:rsid w:val="007A0FDC"/>
    <w:rsid w:val="00823509"/>
    <w:rsid w:val="00844023"/>
    <w:rsid w:val="00876F06"/>
    <w:rsid w:val="00885C14"/>
    <w:rsid w:val="008B5782"/>
    <w:rsid w:val="008C18D6"/>
    <w:rsid w:val="008C41C8"/>
    <w:rsid w:val="00922C48"/>
    <w:rsid w:val="0092599C"/>
    <w:rsid w:val="009265E9"/>
    <w:rsid w:val="00944839"/>
    <w:rsid w:val="009766AA"/>
    <w:rsid w:val="00985696"/>
    <w:rsid w:val="00991869"/>
    <w:rsid w:val="009927A7"/>
    <w:rsid w:val="009C4746"/>
    <w:rsid w:val="009C6C01"/>
    <w:rsid w:val="009D66B9"/>
    <w:rsid w:val="00A0104A"/>
    <w:rsid w:val="00A20B1C"/>
    <w:rsid w:val="00A452DC"/>
    <w:rsid w:val="00A63EFF"/>
    <w:rsid w:val="00A679E4"/>
    <w:rsid w:val="00A8103D"/>
    <w:rsid w:val="00A84508"/>
    <w:rsid w:val="00A96211"/>
    <w:rsid w:val="00AB29FC"/>
    <w:rsid w:val="00AD4B49"/>
    <w:rsid w:val="00AD4D9E"/>
    <w:rsid w:val="00AD5ABA"/>
    <w:rsid w:val="00AE4208"/>
    <w:rsid w:val="00B51496"/>
    <w:rsid w:val="00B56BB4"/>
    <w:rsid w:val="00B61738"/>
    <w:rsid w:val="00B61B7C"/>
    <w:rsid w:val="00B7020A"/>
    <w:rsid w:val="00BC1D11"/>
    <w:rsid w:val="00BF3751"/>
    <w:rsid w:val="00BF678D"/>
    <w:rsid w:val="00C060BC"/>
    <w:rsid w:val="00C11E22"/>
    <w:rsid w:val="00C154ED"/>
    <w:rsid w:val="00C275CB"/>
    <w:rsid w:val="00C70376"/>
    <w:rsid w:val="00C97A1C"/>
    <w:rsid w:val="00C97ECD"/>
    <w:rsid w:val="00CA1EE6"/>
    <w:rsid w:val="00CC37B4"/>
    <w:rsid w:val="00CC7DC8"/>
    <w:rsid w:val="00CE0C77"/>
    <w:rsid w:val="00CF036A"/>
    <w:rsid w:val="00D04CDA"/>
    <w:rsid w:val="00D26857"/>
    <w:rsid w:val="00D43F80"/>
    <w:rsid w:val="00D61F18"/>
    <w:rsid w:val="00D65A87"/>
    <w:rsid w:val="00D82B9A"/>
    <w:rsid w:val="00D831AA"/>
    <w:rsid w:val="00D8546F"/>
    <w:rsid w:val="00D90DD9"/>
    <w:rsid w:val="00DB4B16"/>
    <w:rsid w:val="00DB5B5A"/>
    <w:rsid w:val="00E179F0"/>
    <w:rsid w:val="00E6176B"/>
    <w:rsid w:val="00E72E11"/>
    <w:rsid w:val="00E7745A"/>
    <w:rsid w:val="00E8094D"/>
    <w:rsid w:val="00E90EB6"/>
    <w:rsid w:val="00E95BB7"/>
    <w:rsid w:val="00EB1E9D"/>
    <w:rsid w:val="00ED0401"/>
    <w:rsid w:val="00EE07F2"/>
    <w:rsid w:val="00EE51B7"/>
    <w:rsid w:val="00EF5487"/>
    <w:rsid w:val="00F24487"/>
    <w:rsid w:val="00F34B84"/>
    <w:rsid w:val="00F36E17"/>
    <w:rsid w:val="00F85542"/>
    <w:rsid w:val="00F96F7E"/>
    <w:rsid w:val="00FA4BA0"/>
    <w:rsid w:val="00FE475E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6BFA"/>
  <w15:docId w15:val="{2FD5C984-56FF-4ACD-B9A9-DA9A79E2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94483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8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5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C1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8103D"/>
    <w:pPr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810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B4F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07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u.edu/provost/faculty-affairs/faculty-workload-policies/university/university-faculty-workload-policy_text_5-26-2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07F3A-34A3-45E4-BEDA-41A88B47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josephme</dc:creator>
  <cp:lastModifiedBy>April Trees</cp:lastModifiedBy>
  <cp:revision>2</cp:revision>
  <cp:lastPrinted>2021-03-22T13:33:00Z</cp:lastPrinted>
  <dcterms:created xsi:type="dcterms:W3CDTF">2023-11-01T02:36:00Z</dcterms:created>
  <dcterms:modified xsi:type="dcterms:W3CDTF">2023-11-01T02:36:00Z</dcterms:modified>
</cp:coreProperties>
</file>